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7" w:rsidRDefault="009151F7">
      <w:pPr>
        <w:rPr>
          <w:b/>
          <w:sz w:val="28"/>
          <w:szCs w:val="28"/>
          <w:lang w:eastAsia="en-GB"/>
        </w:rPr>
      </w:pPr>
    </w:p>
    <w:p w:rsidR="009151F7" w:rsidRDefault="009151F7">
      <w:pPr>
        <w:rPr>
          <w:b/>
          <w:sz w:val="28"/>
          <w:szCs w:val="28"/>
          <w:lang w:eastAsia="en-GB"/>
        </w:rPr>
      </w:pPr>
    </w:p>
    <w:p w:rsidR="00C178FE" w:rsidRPr="004C398D" w:rsidRDefault="009151F7">
      <w:pPr>
        <w:rPr>
          <w:rFonts w:asciiTheme="minorHAnsi" w:hAnsiTheme="minorHAnsi"/>
        </w:rPr>
      </w:pPr>
      <w:r>
        <w:rPr>
          <w:b/>
          <w:sz w:val="28"/>
          <w:szCs w:val="28"/>
          <w:lang w:eastAsia="en-GB"/>
        </w:rPr>
        <w:drawing>
          <wp:inline distT="0" distB="0" distL="0" distR="0" wp14:anchorId="65854E91" wp14:editId="4623FA2D">
            <wp:extent cx="5727700" cy="546100"/>
            <wp:effectExtent l="25400" t="0" r="0" b="0"/>
            <wp:docPr id="1" name="Picture 1" descr="SothebysInstitute_Lock-u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hebysInstitute_Lock-up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FE" w:rsidRPr="004C398D" w:rsidRDefault="00C178FE">
      <w:pPr>
        <w:rPr>
          <w:rFonts w:asciiTheme="minorHAnsi" w:hAnsiTheme="minorHAnsi"/>
        </w:rPr>
      </w:pPr>
    </w:p>
    <w:p w:rsidR="00C178FE" w:rsidRPr="004C398D" w:rsidRDefault="00C178FE" w:rsidP="00C178F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178FE" w:rsidRPr="004C398D" w:rsidRDefault="00C178FE" w:rsidP="00C178FE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C398D">
        <w:rPr>
          <w:rFonts w:asciiTheme="minorHAnsi" w:hAnsiTheme="minorHAnsi"/>
          <w:b/>
          <w:bCs/>
          <w:color w:val="000000"/>
          <w:szCs w:val="22"/>
        </w:rPr>
        <w:t>JOB DESCRIPTION</w:t>
      </w:r>
    </w:p>
    <w:p w:rsidR="00C178FE" w:rsidRPr="004C398D" w:rsidRDefault="00C178FE" w:rsidP="00C178FE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2681A" w:rsidRPr="00D8056C" w:rsidRDefault="0012681A" w:rsidP="0012681A">
      <w:pPr>
        <w:spacing w:line="360" w:lineRule="auto"/>
        <w:ind w:left="1440" w:hanging="1440"/>
        <w:jc w:val="center"/>
        <w:rPr>
          <w:rFonts w:asciiTheme="minorHAnsi" w:hAnsiTheme="minorHAnsi"/>
          <w:b/>
          <w:bCs/>
          <w:color w:val="000000"/>
          <w:sz w:val="28"/>
          <w:szCs w:val="22"/>
        </w:rPr>
      </w:pPr>
      <w:r w:rsidRPr="00D8056C">
        <w:rPr>
          <w:rFonts w:asciiTheme="minorHAnsi" w:hAnsiTheme="minorHAnsi"/>
          <w:b/>
          <w:bCs/>
          <w:color w:val="000000"/>
          <w:sz w:val="28"/>
          <w:szCs w:val="22"/>
        </w:rPr>
        <w:t>Job title: Lecturer</w:t>
      </w:r>
      <w:r>
        <w:rPr>
          <w:rFonts w:asciiTheme="minorHAnsi" w:hAnsiTheme="minorHAnsi"/>
          <w:b/>
          <w:bCs/>
          <w:color w:val="000000"/>
          <w:sz w:val="28"/>
          <w:szCs w:val="22"/>
        </w:rPr>
        <w:t>/Senior Lecturer</w:t>
      </w:r>
      <w:r w:rsidRPr="00D8056C">
        <w:rPr>
          <w:rFonts w:asciiTheme="minorHAnsi" w:hAnsiTheme="minorHAnsi"/>
          <w:b/>
          <w:bCs/>
          <w:color w:val="000000"/>
          <w:sz w:val="28"/>
          <w:szCs w:val="22"/>
        </w:rPr>
        <w:t xml:space="preserve"> in Art Business</w:t>
      </w:r>
      <w:r>
        <w:rPr>
          <w:rFonts w:asciiTheme="minorHAnsi" w:hAnsiTheme="minorHAnsi"/>
          <w:b/>
          <w:bCs/>
          <w:color w:val="000000"/>
          <w:sz w:val="28"/>
          <w:szCs w:val="22"/>
        </w:rPr>
        <w:t xml:space="preserve"> – Full Time (1.0 FTE)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286"/>
      </w:tblGrid>
      <w:tr w:rsidR="00444D11" w:rsidRPr="00444D11" w:rsidTr="00444D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11" w:rsidRPr="00444D11" w:rsidRDefault="00444D11" w:rsidP="00444D11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en-GB"/>
              </w:rPr>
            </w:pPr>
            <w:r w:rsidRPr="00444D11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en-GB"/>
              </w:rPr>
              <w:t>Salary:</w:t>
            </w:r>
          </w:p>
        </w:tc>
        <w:tc>
          <w:tcPr>
            <w:tcW w:w="0" w:type="auto"/>
            <w:vAlign w:val="center"/>
            <w:hideMark/>
          </w:tcPr>
          <w:p w:rsidR="00444D11" w:rsidRPr="00444D11" w:rsidRDefault="00444D11" w:rsidP="00444D11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en-GB"/>
              </w:rPr>
            </w:pPr>
            <w:r w:rsidRPr="00444D11"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eastAsia="en-GB"/>
              </w:rPr>
              <w:t xml:space="preserve">£38,000 to £55,000 per annum, depending on experience </w:t>
            </w:r>
          </w:p>
        </w:tc>
      </w:tr>
    </w:tbl>
    <w:p w:rsidR="0012681A" w:rsidRPr="004C398D" w:rsidRDefault="0012681A" w:rsidP="00C178FE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4C398D" w:rsidRPr="00865B34" w:rsidRDefault="00F01A7A" w:rsidP="004C398D">
      <w:pPr>
        <w:jc w:val="both"/>
        <w:rPr>
          <w:rFonts w:asciiTheme="minorHAnsi" w:hAnsiTheme="minorHAnsi" w:cs="Garamond"/>
          <w:sz w:val="22"/>
          <w:szCs w:val="22"/>
        </w:rPr>
      </w:pPr>
      <w:r w:rsidRPr="000A7F18">
        <w:rPr>
          <w:rFonts w:asciiTheme="minorHAnsi" w:hAnsiTheme="minorHAnsi" w:cs="Garamond"/>
          <w:sz w:val="22"/>
          <w:szCs w:val="22"/>
        </w:rPr>
        <w:t xml:space="preserve">The </w:t>
      </w:r>
      <w:r w:rsidR="00346FAC">
        <w:rPr>
          <w:rFonts w:asciiTheme="minorHAnsi" w:hAnsiTheme="minorHAnsi" w:cs="Garamond"/>
          <w:sz w:val="22"/>
          <w:szCs w:val="22"/>
        </w:rPr>
        <w:t>MA in Art Business</w:t>
      </w:r>
      <w:r w:rsidRPr="00865B34">
        <w:rPr>
          <w:rFonts w:asciiTheme="minorHAnsi" w:hAnsiTheme="minorHAnsi" w:cs="Garamond"/>
          <w:sz w:val="22"/>
          <w:szCs w:val="22"/>
        </w:rPr>
        <w:t xml:space="preserve"> </w:t>
      </w:r>
      <w:r w:rsidR="00346FAC">
        <w:rPr>
          <w:rFonts w:asciiTheme="minorHAnsi" w:hAnsiTheme="minorHAnsi" w:cs="Garamond"/>
          <w:sz w:val="22"/>
          <w:szCs w:val="22"/>
        </w:rPr>
        <w:t xml:space="preserve">(MAAB) </w:t>
      </w:r>
      <w:r w:rsidR="004C398D" w:rsidRPr="00865B34">
        <w:rPr>
          <w:rFonts w:asciiTheme="minorHAnsi" w:hAnsiTheme="minorHAnsi" w:cs="Garamond"/>
          <w:sz w:val="22"/>
          <w:szCs w:val="22"/>
        </w:rPr>
        <w:t xml:space="preserve">was established </w:t>
      </w:r>
      <w:r w:rsidR="00346FAC" w:rsidRPr="00865B34">
        <w:rPr>
          <w:rFonts w:asciiTheme="minorHAnsi" w:hAnsiTheme="minorHAnsi" w:cs="Garamond"/>
          <w:sz w:val="22"/>
          <w:szCs w:val="22"/>
        </w:rPr>
        <w:t xml:space="preserve">at Sotheby’s Institute </w:t>
      </w:r>
      <w:r w:rsidR="004C398D" w:rsidRPr="00865B34">
        <w:rPr>
          <w:rFonts w:asciiTheme="minorHAnsi" w:hAnsiTheme="minorHAnsi" w:cs="Garamond"/>
          <w:sz w:val="22"/>
          <w:szCs w:val="22"/>
        </w:rPr>
        <w:t>in 199</w:t>
      </w:r>
      <w:r w:rsidR="00346FAC">
        <w:rPr>
          <w:rFonts w:asciiTheme="minorHAnsi" w:hAnsiTheme="minorHAnsi" w:cs="Garamond"/>
          <w:sz w:val="22"/>
          <w:szCs w:val="22"/>
        </w:rPr>
        <w:t>8.  The programme has pioneered the development of the study of art business and the international art ma</w:t>
      </w:r>
      <w:r w:rsidR="00F268C7">
        <w:rPr>
          <w:rFonts w:asciiTheme="minorHAnsi" w:hAnsiTheme="minorHAnsi" w:cs="Garamond"/>
          <w:sz w:val="22"/>
          <w:szCs w:val="22"/>
        </w:rPr>
        <w:t>rket as an academic discipline.</w:t>
      </w:r>
      <w:r w:rsidR="00346FAC">
        <w:rPr>
          <w:rFonts w:asciiTheme="minorHAnsi" w:hAnsiTheme="minorHAnsi" w:cs="Garamond"/>
          <w:sz w:val="22"/>
          <w:szCs w:val="22"/>
        </w:rPr>
        <w:t xml:space="preserve"> At the same time it remains a highly vocational course, with a focus on understanding business networks and professional practices.</w:t>
      </w:r>
      <w:r w:rsidR="000A7F18">
        <w:rPr>
          <w:rFonts w:asciiTheme="minorHAnsi" w:hAnsiTheme="minorHAnsi" w:cs="Garamond"/>
          <w:sz w:val="22"/>
          <w:szCs w:val="22"/>
        </w:rPr>
        <w:t xml:space="preserve"> Students from </w:t>
      </w:r>
      <w:r w:rsidR="000A7F18" w:rsidRPr="000A7F18">
        <w:rPr>
          <w:rFonts w:asciiTheme="minorHAnsi" w:hAnsiTheme="minorHAnsi" w:cs="Garamond"/>
          <w:sz w:val="22"/>
          <w:szCs w:val="22"/>
        </w:rPr>
        <w:t>MAAB</w:t>
      </w:r>
      <w:r w:rsidR="000A7F18">
        <w:rPr>
          <w:rFonts w:asciiTheme="minorHAnsi" w:hAnsiTheme="minorHAnsi" w:cs="Garamond"/>
          <w:sz w:val="22"/>
          <w:szCs w:val="22"/>
        </w:rPr>
        <w:t xml:space="preserve"> </w:t>
      </w:r>
      <w:r w:rsidR="000A7F18" w:rsidRPr="000A7F18">
        <w:rPr>
          <w:rFonts w:asciiTheme="minorHAnsi" w:hAnsiTheme="minorHAnsi" w:cs="Garamond"/>
          <w:sz w:val="22"/>
          <w:szCs w:val="22"/>
        </w:rPr>
        <w:t>progress to employment</w:t>
      </w:r>
      <w:r w:rsidR="00F268C7">
        <w:rPr>
          <w:rFonts w:asciiTheme="minorHAnsi" w:hAnsiTheme="minorHAnsi" w:cs="Garamond"/>
          <w:sz w:val="22"/>
          <w:szCs w:val="22"/>
        </w:rPr>
        <w:t xml:space="preserve"> in</w:t>
      </w:r>
      <w:r w:rsidR="00346FAC">
        <w:rPr>
          <w:rFonts w:asciiTheme="minorHAnsi" w:hAnsiTheme="minorHAnsi" w:cs="Garamond"/>
          <w:sz w:val="22"/>
          <w:szCs w:val="22"/>
        </w:rPr>
        <w:t xml:space="preserve"> a broad variety of jobs in art businesses, both public and private sector, across the world</w:t>
      </w:r>
      <w:r w:rsidRPr="00865B34">
        <w:rPr>
          <w:rFonts w:asciiTheme="minorHAnsi" w:hAnsiTheme="minorHAnsi" w:cs="Garamond"/>
          <w:sz w:val="22"/>
          <w:szCs w:val="22"/>
        </w:rPr>
        <w:t xml:space="preserve">. </w:t>
      </w:r>
    </w:p>
    <w:p w:rsidR="004C398D" w:rsidRDefault="004C398D" w:rsidP="004C398D">
      <w:pPr>
        <w:jc w:val="both"/>
        <w:rPr>
          <w:rFonts w:asciiTheme="minorHAnsi" w:hAnsiTheme="minorHAnsi" w:cs="Garamond"/>
          <w:sz w:val="22"/>
          <w:szCs w:val="22"/>
        </w:rPr>
      </w:pPr>
    </w:p>
    <w:p w:rsid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The Lecturer/Senior Lecturer in Art Business </w:t>
      </w:r>
      <w:r w:rsidR="00F268C7">
        <w:rPr>
          <w:rFonts w:asciiTheme="minorHAnsi" w:hAnsiTheme="minorHAnsi"/>
          <w:color w:val="000000"/>
          <w:sz w:val="22"/>
          <w:szCs w:val="22"/>
        </w:rPr>
        <w:t>will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be a key member of the full-time team which leads the teaching and development of the MA in Art Business. The Institute views the Lectureship as</w:t>
      </w:r>
      <w:r w:rsidR="00F268C7">
        <w:rPr>
          <w:rFonts w:asciiTheme="minorHAnsi" w:hAnsiTheme="minorHAnsi"/>
          <w:color w:val="000000"/>
          <w:sz w:val="22"/>
          <w:szCs w:val="22"/>
        </w:rPr>
        <w:t xml:space="preserve"> an integral and pioneering position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in the</w:t>
      </w:r>
      <w:r w:rsidR="00F268C7">
        <w:rPr>
          <w:rFonts w:asciiTheme="minorHAnsi" w:hAnsiTheme="minorHAnsi"/>
          <w:color w:val="000000"/>
          <w:sz w:val="22"/>
          <w:szCs w:val="22"/>
        </w:rPr>
        <w:t xml:space="preserve"> development of an emerging 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academic discipline in which Sotheby’s Institute of Art London has been </w:t>
      </w:r>
      <w:r w:rsidR="00F268C7">
        <w:rPr>
          <w:rFonts w:asciiTheme="minorHAnsi" w:hAnsiTheme="minorHAnsi"/>
          <w:color w:val="000000"/>
          <w:sz w:val="22"/>
          <w:szCs w:val="22"/>
        </w:rPr>
        <w:t xml:space="preserve">at </w:t>
      </w:r>
      <w:r w:rsidR="00F268C7" w:rsidRPr="00F268C7">
        <w:rPr>
          <w:rFonts w:asciiTheme="minorHAnsi" w:hAnsiTheme="minorHAnsi"/>
          <w:sz w:val="22"/>
          <w:szCs w:val="22"/>
        </w:rPr>
        <w:t>the forefront in terms of academic and vocational leadership</w:t>
      </w:r>
      <w:r w:rsidRPr="00F268C7">
        <w:rPr>
          <w:rFonts w:asciiTheme="minorHAnsi" w:hAnsiTheme="minorHAnsi"/>
          <w:sz w:val="22"/>
          <w:szCs w:val="22"/>
        </w:rPr>
        <w:t xml:space="preserve">. The successful applicant will have </w:t>
      </w:r>
      <w:r w:rsidR="00D76AED" w:rsidRPr="00F268C7">
        <w:rPr>
          <w:rFonts w:asciiTheme="minorHAnsi" w:hAnsiTheme="minorHAnsi"/>
          <w:sz w:val="22"/>
          <w:szCs w:val="22"/>
        </w:rPr>
        <w:t xml:space="preserve">a PhD in an area related to one of more units of the programme. An understanding of basic mathematical principles, spreadsheet formulae, and data analysis is desirable. </w:t>
      </w:r>
      <w:r w:rsidR="00F268C7" w:rsidRPr="00F268C7">
        <w:rPr>
          <w:rFonts w:asciiTheme="minorHAnsi" w:hAnsiTheme="minorHAnsi"/>
          <w:sz w:val="22"/>
          <w:szCs w:val="22"/>
        </w:rPr>
        <w:t xml:space="preserve"> It would also be helpful if they also had some art world working experience, and/or an understanding of the terminology and methodologies of art history/criticism.</w:t>
      </w:r>
      <w:r w:rsidR="00D76AED" w:rsidRPr="00F268C7">
        <w:rPr>
          <w:rFonts w:asciiTheme="minorHAnsi" w:hAnsiTheme="minorHAnsi"/>
          <w:sz w:val="22"/>
          <w:szCs w:val="22"/>
        </w:rPr>
        <w:t xml:space="preserve"> They will </w:t>
      </w:r>
      <w:r w:rsidRPr="00F268C7">
        <w:rPr>
          <w:rFonts w:asciiTheme="minorHAnsi" w:hAnsiTheme="minorHAnsi"/>
          <w:sz w:val="22"/>
          <w:szCs w:val="22"/>
        </w:rPr>
        <w:t>facilitat</w:t>
      </w:r>
      <w:r w:rsidR="00E927F8" w:rsidRPr="00F268C7">
        <w:rPr>
          <w:rFonts w:asciiTheme="minorHAnsi" w:hAnsiTheme="minorHAnsi"/>
          <w:sz w:val="22"/>
          <w:szCs w:val="22"/>
        </w:rPr>
        <w:t xml:space="preserve">e the future development of at least one of the core MAAB </w:t>
      </w:r>
      <w:r w:rsidRPr="00F268C7">
        <w:rPr>
          <w:rFonts w:asciiTheme="minorHAnsi" w:hAnsiTheme="minorHAnsi"/>
          <w:sz w:val="22"/>
          <w:szCs w:val="22"/>
        </w:rPr>
        <w:t>unit</w:t>
      </w:r>
      <w:r w:rsidR="00E927F8" w:rsidRPr="00F268C7">
        <w:rPr>
          <w:rFonts w:asciiTheme="minorHAnsi" w:hAnsiTheme="minorHAnsi"/>
          <w:sz w:val="22"/>
          <w:szCs w:val="22"/>
        </w:rPr>
        <w:t>s and elective units</w:t>
      </w:r>
      <w:r w:rsidRPr="00F268C7">
        <w:rPr>
          <w:rFonts w:asciiTheme="minorHAnsi" w:hAnsiTheme="minorHAnsi"/>
          <w:sz w:val="22"/>
          <w:szCs w:val="22"/>
        </w:rPr>
        <w:t xml:space="preserve"> through a wide range of disciplinary and interdisciplinary practices</w:t>
      </w:r>
      <w:r w:rsidRPr="0012681A">
        <w:rPr>
          <w:rFonts w:asciiTheme="minorHAnsi" w:hAnsiTheme="minorHAnsi"/>
          <w:color w:val="000000"/>
          <w:sz w:val="22"/>
          <w:szCs w:val="22"/>
        </w:rPr>
        <w:t>, research and pedagogy in the field.</w:t>
      </w:r>
      <w:r w:rsidR="00E927F8" w:rsidRPr="00E927F8">
        <w:rPr>
          <w:rFonts w:asciiTheme="minorHAnsi" w:hAnsiTheme="minorHAnsi" w:cs="Garamond"/>
          <w:sz w:val="22"/>
          <w:szCs w:val="22"/>
        </w:rPr>
        <w:t xml:space="preserve"> </w:t>
      </w:r>
      <w:r w:rsidR="00E927F8">
        <w:rPr>
          <w:rFonts w:asciiTheme="minorHAnsi" w:hAnsiTheme="minorHAnsi" w:cs="Garamond"/>
          <w:sz w:val="22"/>
          <w:szCs w:val="22"/>
        </w:rPr>
        <w:t xml:space="preserve"> </w:t>
      </w:r>
      <w:r w:rsidR="00E927F8" w:rsidRPr="00E07578">
        <w:rPr>
          <w:rFonts w:asciiTheme="minorHAnsi" w:hAnsiTheme="minorHAnsi" w:cs="Garamond"/>
          <w:sz w:val="22"/>
          <w:szCs w:val="22"/>
        </w:rPr>
        <w:t>Core program</w:t>
      </w:r>
      <w:r w:rsidR="00E927F8">
        <w:rPr>
          <w:rFonts w:asciiTheme="minorHAnsi" w:hAnsiTheme="minorHAnsi" w:cs="Garamond"/>
          <w:sz w:val="22"/>
          <w:szCs w:val="22"/>
        </w:rPr>
        <w:t xml:space="preserve">me units include: </w:t>
      </w:r>
      <w:r w:rsidR="00F268C7" w:rsidRPr="00F268C7">
        <w:rPr>
          <w:rFonts w:asciiTheme="minorHAnsi" w:hAnsiTheme="minorHAnsi" w:cs="Garamond"/>
          <w:i/>
          <w:sz w:val="22"/>
          <w:szCs w:val="22"/>
        </w:rPr>
        <w:t xml:space="preserve">Navigating the Art World; </w:t>
      </w:r>
      <w:r w:rsidR="00E927F8" w:rsidRPr="00F268C7">
        <w:rPr>
          <w:rFonts w:asciiTheme="minorHAnsi" w:hAnsiTheme="minorHAnsi" w:cs="Garamond"/>
          <w:i/>
          <w:sz w:val="22"/>
          <w:szCs w:val="22"/>
        </w:rPr>
        <w:t>International</w:t>
      </w:r>
      <w:r w:rsidR="00E927F8" w:rsidRPr="00D76AED">
        <w:rPr>
          <w:rFonts w:asciiTheme="minorHAnsi" w:hAnsiTheme="minorHAnsi" w:cs="Garamond"/>
          <w:i/>
          <w:sz w:val="22"/>
          <w:szCs w:val="22"/>
        </w:rPr>
        <w:t xml:space="preserve"> Art World: Markets,</w:t>
      </w:r>
      <w:r w:rsidR="00E927F8">
        <w:rPr>
          <w:rFonts w:asciiTheme="minorHAnsi" w:hAnsiTheme="minorHAnsi" w:cs="Garamond"/>
          <w:sz w:val="22"/>
          <w:szCs w:val="22"/>
        </w:rPr>
        <w:t xml:space="preserve"> </w:t>
      </w:r>
      <w:r w:rsidR="00F268C7">
        <w:rPr>
          <w:rFonts w:asciiTheme="minorHAnsi" w:hAnsiTheme="minorHAnsi" w:cs="Garamond"/>
          <w:i/>
          <w:sz w:val="22"/>
          <w:szCs w:val="22"/>
        </w:rPr>
        <w:t>Ethics and</w:t>
      </w:r>
      <w:r w:rsidR="00E927F8" w:rsidRPr="00D913CA">
        <w:rPr>
          <w:rFonts w:asciiTheme="minorHAnsi" w:hAnsiTheme="minorHAnsi" w:cs="Garamond"/>
          <w:i/>
          <w:sz w:val="22"/>
          <w:szCs w:val="22"/>
        </w:rPr>
        <w:t xml:space="preserve"> Law</w:t>
      </w:r>
      <w:r w:rsidR="00E927F8">
        <w:rPr>
          <w:rFonts w:asciiTheme="minorHAnsi" w:hAnsiTheme="minorHAnsi" w:cs="Garamond"/>
          <w:i/>
          <w:sz w:val="22"/>
          <w:szCs w:val="22"/>
        </w:rPr>
        <w:t>s</w:t>
      </w:r>
      <w:r w:rsidR="00E927F8">
        <w:rPr>
          <w:rFonts w:asciiTheme="minorHAnsi" w:hAnsiTheme="minorHAnsi" w:cs="Garamond"/>
          <w:sz w:val="22"/>
          <w:szCs w:val="22"/>
        </w:rPr>
        <w:t xml:space="preserve">; </w:t>
      </w:r>
      <w:r w:rsidR="00E927F8" w:rsidRPr="00D913CA">
        <w:rPr>
          <w:rFonts w:ascii="Calibri" w:hAnsi="Calibri"/>
          <w:i/>
          <w:lang w:val="en-US" w:eastAsia="x-none"/>
        </w:rPr>
        <w:t xml:space="preserve">Art Business, </w:t>
      </w:r>
      <w:r w:rsidR="00E927F8">
        <w:rPr>
          <w:rFonts w:ascii="Calibri" w:hAnsi="Calibri"/>
          <w:i/>
          <w:lang w:val="en-US" w:eastAsia="x-none"/>
        </w:rPr>
        <w:t>Management and Finance</w:t>
      </w:r>
      <w:r w:rsidR="00E927F8">
        <w:rPr>
          <w:rFonts w:ascii="Calibri" w:hAnsi="Calibri"/>
          <w:lang w:val="en-US" w:eastAsia="x-none"/>
        </w:rPr>
        <w:t xml:space="preserve">.  MAAB-based elective units include: </w:t>
      </w:r>
      <w:r w:rsidR="00F268C7">
        <w:rPr>
          <w:rFonts w:ascii="Calibri" w:hAnsi="Calibri"/>
          <w:i/>
          <w:lang w:val="en-US" w:eastAsia="x-none"/>
        </w:rPr>
        <w:t>Art World Operations and</w:t>
      </w:r>
      <w:r w:rsidR="00E927F8">
        <w:rPr>
          <w:rFonts w:ascii="Calibri" w:hAnsi="Calibri"/>
          <w:i/>
          <w:lang w:val="en-US" w:eastAsia="x-none"/>
        </w:rPr>
        <w:t xml:space="preserve"> Logistics</w:t>
      </w:r>
      <w:r w:rsidR="00E927F8">
        <w:rPr>
          <w:rFonts w:ascii="Calibri" w:hAnsi="Calibri"/>
          <w:lang w:val="en-US" w:eastAsia="x-none"/>
        </w:rPr>
        <w:t xml:space="preserve">; </w:t>
      </w:r>
      <w:r w:rsidR="00E927F8" w:rsidRPr="00D76AED">
        <w:rPr>
          <w:rFonts w:ascii="Calibri" w:hAnsi="Calibri"/>
          <w:i/>
          <w:lang w:val="en-US" w:eastAsia="x-none"/>
        </w:rPr>
        <w:t>International Art World: Public Sector; Emerging Marke</w:t>
      </w:r>
      <w:r w:rsidR="00F268C7">
        <w:rPr>
          <w:rFonts w:ascii="Calibri" w:hAnsi="Calibri"/>
          <w:i/>
          <w:lang w:val="en-US" w:eastAsia="x-none"/>
        </w:rPr>
        <w:t>ts; The Market for Antiquities and</w:t>
      </w:r>
      <w:r w:rsidR="00E927F8" w:rsidRPr="00D76AED">
        <w:rPr>
          <w:rFonts w:ascii="Calibri" w:hAnsi="Calibri"/>
          <w:i/>
          <w:lang w:val="en-US" w:eastAsia="x-none"/>
        </w:rPr>
        <w:t xml:space="preserve"> Old Masters; Strategic Management in the Art World</w:t>
      </w:r>
      <w:r w:rsidR="00E927F8">
        <w:rPr>
          <w:rFonts w:ascii="Calibri" w:hAnsi="Calibri"/>
          <w:lang w:val="en-US" w:eastAsia="x-none"/>
        </w:rPr>
        <w:t xml:space="preserve">. </w:t>
      </w:r>
      <w:r w:rsidR="00F268C7">
        <w:rPr>
          <w:rFonts w:asciiTheme="minorHAnsi" w:hAnsiTheme="minorHAnsi"/>
          <w:color w:val="000000"/>
          <w:sz w:val="22"/>
          <w:szCs w:val="22"/>
        </w:rPr>
        <w:t xml:space="preserve"> The successful candidate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will be expected to demonstrate academic flexibility as well as a strong commitment to the learning expe</w:t>
      </w:r>
      <w:r w:rsidR="00F268C7">
        <w:rPr>
          <w:rFonts w:asciiTheme="minorHAnsi" w:hAnsiTheme="minorHAnsi"/>
          <w:color w:val="000000"/>
          <w:sz w:val="22"/>
          <w:szCs w:val="22"/>
        </w:rPr>
        <w:t xml:space="preserve">rience and pastoral care of </w:t>
      </w:r>
      <w:r w:rsidRPr="0012681A">
        <w:rPr>
          <w:rFonts w:asciiTheme="minorHAnsi" w:hAnsiTheme="minorHAnsi"/>
          <w:color w:val="000000"/>
          <w:sz w:val="22"/>
          <w:szCs w:val="22"/>
        </w:rPr>
        <w:t>students. This role reports directly to the Programme Director.</w:t>
      </w:r>
    </w:p>
    <w:p w:rsidR="0012681A" w:rsidRPr="0012681A" w:rsidRDefault="0012681A" w:rsidP="0012681A">
      <w:pPr>
        <w:spacing w:after="100" w:afterAutospacing="1"/>
        <w:jc w:val="both"/>
        <w:rPr>
          <w:lang w:eastAsia="en-GB"/>
        </w:rPr>
      </w:pPr>
    </w:p>
    <w:p w:rsidR="0012681A" w:rsidRPr="0012681A" w:rsidRDefault="0012681A" w:rsidP="0012681A">
      <w:pPr>
        <w:spacing w:after="100" w:afterAutospacing="1"/>
        <w:jc w:val="both"/>
        <w:rPr>
          <w:rFonts w:asciiTheme="minorHAnsi" w:hAnsiTheme="minorHAnsi"/>
          <w:sz w:val="22"/>
          <w:szCs w:val="22"/>
          <w:lang w:eastAsia="en-GB"/>
        </w:rPr>
      </w:pPr>
      <w:r w:rsidRPr="0012681A">
        <w:rPr>
          <w:rFonts w:asciiTheme="minorHAnsi" w:hAnsiTheme="minorHAnsi"/>
          <w:sz w:val="22"/>
          <w:szCs w:val="22"/>
          <w:lang w:eastAsia="en-GB"/>
        </w:rPr>
        <w:t>The role involves</w:t>
      </w:r>
      <w:r w:rsidR="006329ED">
        <w:rPr>
          <w:rFonts w:asciiTheme="minorHAnsi" w:hAnsiTheme="minorHAnsi"/>
          <w:sz w:val="22"/>
          <w:szCs w:val="22"/>
          <w:lang w:eastAsia="en-GB"/>
        </w:rPr>
        <w:t xml:space="preserve"> the following</w:t>
      </w:r>
      <w:r w:rsidRPr="0012681A">
        <w:rPr>
          <w:rFonts w:asciiTheme="minorHAnsi" w:hAnsiTheme="minorHAnsi"/>
          <w:sz w:val="22"/>
          <w:szCs w:val="22"/>
          <w:lang w:eastAsia="en-GB"/>
        </w:rPr>
        <w:t>:</w:t>
      </w:r>
    </w:p>
    <w:p w:rsidR="0012681A" w:rsidRPr="0012681A" w:rsidRDefault="0061357F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Unit tutor on at least one core MAAB unit;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contribution to the 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d</w:t>
      </w: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evelopment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and updating</w:t>
      </w: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of 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the unit on an annual basis; </w:t>
      </w: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assisting in the 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recruiting </w:t>
      </w: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of </w:t>
      </w:r>
      <w:r w:rsidR="0012681A"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suitable professionals from the art business world to assist in its delivery and academic assessment</w:t>
      </w:r>
    </w:p>
    <w:p w:rsidR="0012681A" w:rsidRPr="007F68C8" w:rsidRDefault="006329ED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Unit l</w:t>
      </w:r>
      <w:r w:rsidR="0012681A" w:rsidRPr="007F68C8">
        <w:rPr>
          <w:rFonts w:asciiTheme="minorHAnsi" w:eastAsiaTheme="minorHAnsi" w:hAnsiTheme="minorHAnsi"/>
          <w:sz w:val="22"/>
          <w:szCs w:val="22"/>
          <w:lang w:val="en-US" w:eastAsia="en-US" w:bidi="en-US"/>
        </w:rPr>
        <w:t>eader of at least one elective</w:t>
      </w:r>
    </w:p>
    <w:p w:rsidR="0012681A" w:rsidRDefault="00F268C7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Contributions to</w:t>
      </w:r>
      <w:r w:rsidR="0012681A" w:rsidRPr="007F68C8">
        <w:rPr>
          <w:rFonts w:asciiTheme="minorHAnsi" w:eastAsiaTheme="minorHAnsi" w:hAnsiTheme="minorHAnsi"/>
          <w:color w:val="4F81BD" w:themeColor="accent1"/>
          <w:sz w:val="22"/>
          <w:szCs w:val="22"/>
          <w:lang w:val="en-US" w:eastAsia="en-US" w:bidi="en-US"/>
        </w:rPr>
        <w:t xml:space="preserve"> </w:t>
      </w:r>
      <w:r w:rsidR="0012681A" w:rsidRPr="007F68C8"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the </w:t>
      </w:r>
      <w:r w:rsidR="0012681A" w:rsidRPr="00F268C7">
        <w:rPr>
          <w:rFonts w:asciiTheme="minorHAnsi" w:eastAsiaTheme="minorHAnsi" w:hAnsiTheme="minorHAnsi"/>
          <w:i/>
          <w:sz w:val="22"/>
          <w:szCs w:val="22"/>
          <w:lang w:val="en-US" w:eastAsia="en-US" w:bidi="en-US"/>
        </w:rPr>
        <w:t>Navigating the Art World</w:t>
      </w:r>
      <w:r w:rsidR="0012681A" w:rsidRPr="007F68C8"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 unit</w:t>
      </w:r>
    </w:p>
    <w:p w:rsidR="00F268C7" w:rsidRDefault="00F268C7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Teaching, assessment, MA dissertation supervision</w:t>
      </w:r>
    </w:p>
    <w:p w:rsidR="00F268C7" w:rsidRPr="007F68C8" w:rsidRDefault="00F268C7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Acting as a personal tutor</w:t>
      </w:r>
    </w:p>
    <w:p w:rsidR="0012681A" w:rsidRPr="0012681A" w:rsidRDefault="0012681A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Accompanying study trips at home and abroad</w:t>
      </w:r>
    </w:p>
    <w:p w:rsidR="0012681A" w:rsidRPr="0012681A" w:rsidRDefault="0012681A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lastRenderedPageBreak/>
        <w:t xml:space="preserve">Assisting the MA Art Business Programme Director in the smooth day-to-day </w:t>
      </w:r>
      <w:r w:rsidR="00F268C7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running of the programme, and helping to ensure</w:t>
      </w: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the academic quality</w:t>
      </w:r>
      <w:r w:rsidR="00F268C7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of the programme</w:t>
      </w: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 and pastoral welfare of the students</w:t>
      </w:r>
    </w:p>
    <w:p w:rsidR="0012681A" w:rsidRPr="0012681A" w:rsidRDefault="0012681A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Advising on a regular basis on developments in </w:t>
      </w:r>
      <w:r w:rsidR="00F268C7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 xml:space="preserve">the art and business worlds </w:t>
      </w:r>
    </w:p>
    <w:p w:rsidR="0012681A" w:rsidRDefault="0012681A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Incorporating new and relevant information and ideas into the MA programme as and when required</w:t>
      </w:r>
    </w:p>
    <w:p w:rsidR="006329ED" w:rsidRPr="0012681A" w:rsidRDefault="006329ED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val="en-US" w:eastAsia="en-US" w:bidi="en-US"/>
        </w:rPr>
        <w:t>Contributing to the academic life of Sotheby’s Institute of Art and to the advancement of knowledge in the field.</w:t>
      </w:r>
    </w:p>
    <w:p w:rsid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12681A" w:rsidRDefault="0012681A" w:rsidP="0012681A">
      <w:pPr>
        <w:spacing w:after="100" w:afterAutospacing="1"/>
        <w:jc w:val="both"/>
        <w:rPr>
          <w:rFonts w:asciiTheme="minorHAnsi" w:hAnsiTheme="minorHAnsi"/>
          <w:sz w:val="22"/>
          <w:szCs w:val="22"/>
          <w:lang w:eastAsia="en-GB"/>
        </w:rPr>
      </w:pPr>
      <w:r w:rsidRPr="0012681A">
        <w:rPr>
          <w:rFonts w:asciiTheme="minorHAnsi" w:hAnsiTheme="minorHAnsi"/>
          <w:sz w:val="22"/>
          <w:szCs w:val="22"/>
          <w:lang w:eastAsia="en-GB"/>
        </w:rPr>
        <w:t>The successful candidate will</w:t>
      </w:r>
      <w:r w:rsidR="006329ED">
        <w:rPr>
          <w:rFonts w:asciiTheme="minorHAnsi" w:hAnsiTheme="minorHAnsi"/>
          <w:sz w:val="22"/>
          <w:szCs w:val="22"/>
          <w:lang w:eastAsia="en-GB"/>
        </w:rPr>
        <w:t xml:space="preserve"> be able to demonstrate</w:t>
      </w:r>
      <w:r w:rsidRPr="0012681A">
        <w:rPr>
          <w:rFonts w:asciiTheme="minorHAnsi" w:hAnsiTheme="minorHAnsi"/>
          <w:sz w:val="22"/>
          <w:szCs w:val="22"/>
          <w:lang w:eastAsia="en-GB"/>
        </w:rPr>
        <w:t>:</w:t>
      </w:r>
    </w:p>
    <w:p w:rsidR="006329ED" w:rsidRDefault="006329ED" w:rsidP="0012681A">
      <w:pPr>
        <w:spacing w:after="100" w:afterAutospacing="1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Essential:</w:t>
      </w:r>
    </w:p>
    <w:p w:rsidR="00186898" w:rsidRDefault="002C369F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PhD, with </w:t>
      </w:r>
      <w:r w:rsidR="00186898">
        <w:rPr>
          <w:rFonts w:asciiTheme="minorHAnsi" w:eastAsiaTheme="minorHAnsi" w:hAnsiTheme="minorHAnsi"/>
          <w:sz w:val="22"/>
          <w:szCs w:val="22"/>
          <w:lang w:val="en-US" w:eastAsia="en-US" w:bidi="en-US"/>
        </w:rPr>
        <w:t>expert knowledge in areas related to programme units</w:t>
      </w:r>
    </w:p>
    <w:p w:rsidR="0012681A" w:rsidRPr="0012681A" w:rsidRDefault="0012681A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sz w:val="22"/>
          <w:szCs w:val="22"/>
          <w:lang w:val="en-US" w:eastAsia="en-US" w:bidi="en-US"/>
        </w:rPr>
        <w:t>excellent communications skills, flexi</w:t>
      </w:r>
      <w:r w:rsidR="006329ED">
        <w:rPr>
          <w:rFonts w:asciiTheme="minorHAnsi" w:eastAsiaTheme="minorHAnsi" w:hAnsiTheme="minorHAnsi"/>
          <w:sz w:val="22"/>
          <w:szCs w:val="22"/>
          <w:lang w:val="en-US" w:eastAsia="en-US" w:bidi="en-US"/>
        </w:rPr>
        <w:t>bility and interpersonal skills</w:t>
      </w:r>
    </w:p>
    <w:p w:rsidR="0012681A" w:rsidRPr="0012681A" w:rsidRDefault="006329ED" w:rsidP="0012681A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a student-centered approach</w:t>
      </w:r>
    </w:p>
    <w:p w:rsidR="009151F7" w:rsidRPr="009151F7" w:rsidRDefault="006329ED" w:rsidP="009151F7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/>
          <w:bCs/>
          <w:sz w:val="22"/>
          <w:szCs w:val="22"/>
          <w:lang w:eastAsia="en-US" w:bidi="en-US"/>
        </w:rPr>
      </w:pP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an</w:t>
      </w:r>
      <w:r w:rsidR="0012681A" w:rsidRPr="0012681A"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 ability to work within a small committed academic team, be collegial, a team player, and to liaise closely</w:t>
      </w: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 and amicably</w:t>
      </w:r>
      <w:r w:rsidR="0012681A" w:rsidRPr="0012681A"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 with </w:t>
      </w: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administrative staff.</w:t>
      </w:r>
    </w:p>
    <w:p w:rsidR="006329ED" w:rsidRDefault="006329ED" w:rsidP="006329ED">
      <w:pPr>
        <w:spacing w:after="100" w:afterAutospacing="1"/>
        <w:contextualSpacing/>
        <w:jc w:val="both"/>
        <w:rPr>
          <w:rFonts w:asciiTheme="minorHAnsi" w:eastAsiaTheme="minorHAnsi" w:hAnsiTheme="minorHAnsi"/>
          <w:bCs/>
          <w:sz w:val="22"/>
          <w:szCs w:val="22"/>
          <w:lang w:eastAsia="en-US" w:bidi="en-US"/>
        </w:rPr>
      </w:pPr>
    </w:p>
    <w:p w:rsidR="006329ED" w:rsidRDefault="006329ED" w:rsidP="006329ED">
      <w:pPr>
        <w:spacing w:after="100" w:afterAutospacing="1"/>
        <w:contextualSpacing/>
        <w:jc w:val="both"/>
        <w:rPr>
          <w:rFonts w:asciiTheme="minorHAnsi" w:eastAsiaTheme="minorHAnsi" w:hAnsiTheme="minorHAnsi"/>
          <w:bCs/>
          <w:sz w:val="22"/>
          <w:szCs w:val="22"/>
          <w:lang w:eastAsia="en-US" w:bidi="en-US"/>
        </w:rPr>
      </w:pPr>
      <w:r>
        <w:rPr>
          <w:rFonts w:asciiTheme="minorHAnsi" w:eastAsiaTheme="minorHAnsi" w:hAnsiTheme="minorHAnsi"/>
          <w:bCs/>
          <w:sz w:val="22"/>
          <w:szCs w:val="22"/>
          <w:lang w:eastAsia="en-US" w:bidi="en-US"/>
        </w:rPr>
        <w:t xml:space="preserve">Desirable: </w:t>
      </w:r>
    </w:p>
    <w:p w:rsidR="006329ED" w:rsidRDefault="006329ED" w:rsidP="006329ED">
      <w:pPr>
        <w:pStyle w:val="ListParagraph"/>
        <w:numPr>
          <w:ilvl w:val="0"/>
          <w:numId w:val="3"/>
        </w:numPr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a </w:t>
      </w:r>
      <w:r w:rsidRPr="000A6D20">
        <w:rPr>
          <w:rFonts w:cs="Garamond"/>
          <w:sz w:val="22"/>
          <w:szCs w:val="22"/>
        </w:rPr>
        <w:t xml:space="preserve">good general knowledge of art history and </w:t>
      </w:r>
      <w:r>
        <w:rPr>
          <w:rFonts w:cs="Garamond"/>
          <w:sz w:val="22"/>
          <w:szCs w:val="22"/>
        </w:rPr>
        <w:t xml:space="preserve">an </w:t>
      </w:r>
      <w:r w:rsidRPr="000A6D20">
        <w:rPr>
          <w:rFonts w:cs="Garamond"/>
          <w:sz w:val="22"/>
          <w:szCs w:val="22"/>
        </w:rPr>
        <w:t>understanding of the art world</w:t>
      </w:r>
      <w:r>
        <w:rPr>
          <w:rFonts w:cs="Garamond"/>
          <w:sz w:val="22"/>
          <w:szCs w:val="22"/>
        </w:rPr>
        <w:t xml:space="preserve"> and its major players, together with </w:t>
      </w:r>
      <w:r w:rsidRPr="000A6D20">
        <w:rPr>
          <w:rFonts w:cs="Garamond"/>
          <w:sz w:val="22"/>
          <w:szCs w:val="22"/>
        </w:rPr>
        <w:t>the political and social contexts of art business; an insight into the curatorial contexts and modes of material exchange involved in art business</w:t>
      </w:r>
    </w:p>
    <w:p w:rsidR="006329ED" w:rsidRDefault="006329ED" w:rsidP="006329ED">
      <w:pPr>
        <w:pStyle w:val="ListParagraph"/>
        <w:numPr>
          <w:ilvl w:val="0"/>
          <w:numId w:val="3"/>
        </w:numPr>
        <w:jc w:val="both"/>
        <w:rPr>
          <w:rFonts w:cs="Garamond"/>
          <w:sz w:val="22"/>
          <w:szCs w:val="22"/>
        </w:rPr>
      </w:pPr>
      <w:r>
        <w:rPr>
          <w:sz w:val="22"/>
          <w:szCs w:val="22"/>
        </w:rPr>
        <w:t xml:space="preserve">an </w:t>
      </w:r>
      <w:r w:rsidRPr="00F268C7">
        <w:rPr>
          <w:sz w:val="22"/>
          <w:szCs w:val="22"/>
        </w:rPr>
        <w:t>understanding of basic mathematical principles, spreadsheet formulae, and data analysis</w:t>
      </w:r>
    </w:p>
    <w:p w:rsidR="006329ED" w:rsidRDefault="006329ED" w:rsidP="006329ED">
      <w:pPr>
        <w:numPr>
          <w:ilvl w:val="0"/>
          <w:numId w:val="4"/>
        </w:numPr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 w:rsidRPr="0012681A">
        <w:rPr>
          <w:rFonts w:asciiTheme="minorHAnsi" w:eastAsiaTheme="minorHAnsi" w:hAnsiTheme="minorHAnsi"/>
          <w:sz w:val="22"/>
          <w:szCs w:val="22"/>
          <w:lang w:val="en-US" w:eastAsia="en-US" w:bidi="en-US"/>
        </w:rPr>
        <w:t xml:space="preserve">experience of </w:t>
      </w:r>
      <w:r>
        <w:rPr>
          <w:rFonts w:asciiTheme="minorHAnsi" w:eastAsiaTheme="minorHAnsi" w:hAnsiTheme="minorHAnsi"/>
          <w:sz w:val="22"/>
          <w:szCs w:val="22"/>
          <w:lang w:val="en-US" w:eastAsia="en-US" w:bidi="en-US"/>
        </w:rPr>
        <w:t>teaching postgrad</w:t>
      </w:r>
      <w:r w:rsidR="009151F7">
        <w:rPr>
          <w:rFonts w:asciiTheme="minorHAnsi" w:eastAsiaTheme="minorHAnsi" w:hAnsiTheme="minorHAnsi"/>
          <w:sz w:val="22"/>
          <w:szCs w:val="22"/>
          <w:lang w:val="en-US" w:eastAsia="en-US" w:bidi="en-US"/>
        </w:rPr>
        <w:t>uate and international students</w:t>
      </w:r>
    </w:p>
    <w:p w:rsidR="009151F7" w:rsidRPr="009151F7" w:rsidRDefault="009151F7" w:rsidP="009151F7">
      <w:pPr>
        <w:pStyle w:val="ListParagraph"/>
        <w:numPr>
          <w:ilvl w:val="0"/>
          <w:numId w:val="4"/>
        </w:numPr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c</w:t>
      </w:r>
      <w:r w:rsidRPr="009151F7">
        <w:rPr>
          <w:rFonts w:cs="Garamond"/>
          <w:sz w:val="22"/>
          <w:szCs w:val="22"/>
        </w:rPr>
        <w:t>ompletion of a training course on teaching and learning in higher education.</w:t>
      </w:r>
    </w:p>
    <w:p w:rsidR="009151F7" w:rsidRPr="0012681A" w:rsidRDefault="009151F7" w:rsidP="009151F7">
      <w:pPr>
        <w:ind w:left="720"/>
        <w:contextualSpacing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</w:p>
    <w:p w:rsidR="006329ED" w:rsidRPr="0012681A" w:rsidRDefault="006329ED" w:rsidP="006329ED">
      <w:pPr>
        <w:spacing w:after="100" w:afterAutospacing="1"/>
        <w:contextualSpacing/>
        <w:jc w:val="both"/>
        <w:rPr>
          <w:rFonts w:asciiTheme="minorHAnsi" w:eastAsiaTheme="minorHAnsi" w:hAnsiTheme="minorHAnsi"/>
          <w:bCs/>
          <w:sz w:val="22"/>
          <w:szCs w:val="22"/>
          <w:lang w:eastAsia="en-US" w:bidi="en-US"/>
        </w:rPr>
      </w:pPr>
    </w:p>
    <w:p w:rsidR="0012681A" w:rsidRP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12681A" w:rsidRPr="0012681A" w:rsidRDefault="0012681A" w:rsidP="0012681A">
      <w:pPr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12681A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Main Tasks 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61357F" w:rsidP="0012681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To contribute to </w:t>
      </w:r>
      <w:r w:rsidR="0012681A" w:rsidRPr="0012681A">
        <w:rPr>
          <w:rFonts w:asciiTheme="minorHAnsi" w:hAnsiTheme="minorHAnsi"/>
          <w:color w:val="000000"/>
          <w:sz w:val="22"/>
          <w:szCs w:val="22"/>
        </w:rPr>
        <w:t>at least one of the 30-credit programme units, and be prepared to assist on others.  To lead at least one of the 15-credit electives.  These unit-based duties include lecturing, leading seminars,</w:t>
      </w:r>
      <w:r>
        <w:rPr>
          <w:rFonts w:asciiTheme="minorHAnsi" w:hAnsiTheme="minorHAnsi"/>
          <w:color w:val="000000"/>
          <w:sz w:val="22"/>
          <w:szCs w:val="22"/>
        </w:rPr>
        <w:t xml:space="preserve"> including those on gallery visits and field trips,</w:t>
      </w:r>
      <w:r w:rsidR="0012681A" w:rsidRPr="0012681A">
        <w:rPr>
          <w:rFonts w:asciiTheme="minorHAnsi" w:hAnsiTheme="minorHAnsi"/>
          <w:color w:val="000000"/>
          <w:sz w:val="22"/>
          <w:szCs w:val="22"/>
        </w:rPr>
        <w:t xml:space="preserve"> and the assessment of assignments.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To act as a seminar leader on Navigating the Art World and </w:t>
      </w:r>
      <w:r w:rsidR="007F68C8">
        <w:rPr>
          <w:rFonts w:asciiTheme="minorHAnsi" w:hAnsiTheme="minorHAnsi"/>
          <w:color w:val="000000"/>
          <w:sz w:val="22"/>
          <w:szCs w:val="22"/>
        </w:rPr>
        <w:t>to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contribute to this core course.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attend and assist in the tutoring of all study trips, including extended visits to European locations.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review and update on an annual basis, in consultation with the Programme Director, the syllabus of the respective units.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61357F">
        <w:rPr>
          <w:rFonts w:asciiTheme="minorHAnsi" w:hAnsiTheme="minorHAnsi"/>
          <w:color w:val="000000"/>
          <w:sz w:val="22"/>
          <w:szCs w:val="22"/>
        </w:rPr>
        <w:t xml:space="preserve">assist in the </w:t>
      </w:r>
      <w:r w:rsidRPr="0012681A">
        <w:rPr>
          <w:rFonts w:asciiTheme="minorHAnsi" w:hAnsiTheme="minorHAnsi"/>
          <w:color w:val="000000"/>
          <w:sz w:val="22"/>
          <w:szCs w:val="22"/>
        </w:rPr>
        <w:t>select</w:t>
      </w:r>
      <w:r w:rsidR="0061357F">
        <w:rPr>
          <w:rFonts w:asciiTheme="minorHAnsi" w:hAnsiTheme="minorHAnsi"/>
          <w:color w:val="000000"/>
          <w:sz w:val="22"/>
          <w:szCs w:val="22"/>
        </w:rPr>
        <w:t>ion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and deploy</w:t>
      </w:r>
      <w:r w:rsidR="0061357F">
        <w:rPr>
          <w:rFonts w:asciiTheme="minorHAnsi" w:hAnsiTheme="minorHAnsi"/>
          <w:color w:val="000000"/>
          <w:sz w:val="22"/>
          <w:szCs w:val="22"/>
        </w:rPr>
        <w:t xml:space="preserve">ment of 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high quality and appropriate guest lecturers, in consultation with the </w:t>
      </w:r>
      <w:r w:rsidR="0061357F">
        <w:rPr>
          <w:rFonts w:asciiTheme="minorHAnsi" w:hAnsiTheme="minorHAnsi"/>
          <w:color w:val="000000"/>
          <w:sz w:val="22"/>
          <w:szCs w:val="22"/>
        </w:rPr>
        <w:t xml:space="preserve">Unit Leader and/or </w:t>
      </w:r>
      <w:r w:rsidRPr="0012681A">
        <w:rPr>
          <w:rFonts w:asciiTheme="minorHAnsi" w:hAnsiTheme="minorHAnsi"/>
          <w:color w:val="000000"/>
          <w:sz w:val="22"/>
          <w:szCs w:val="22"/>
        </w:rPr>
        <w:t>Programme Directo</w:t>
      </w:r>
      <w:r w:rsidR="00DB47AA">
        <w:rPr>
          <w:rFonts w:asciiTheme="minorHAnsi" w:hAnsiTheme="minorHAnsi"/>
          <w:color w:val="000000"/>
          <w:sz w:val="22"/>
          <w:szCs w:val="22"/>
        </w:rPr>
        <w:t>r;</w:t>
      </w:r>
      <w:r w:rsidRPr="0012681A">
        <w:rPr>
          <w:rFonts w:asciiTheme="minorHAnsi" w:hAnsiTheme="minorHAnsi"/>
          <w:color w:val="000000"/>
          <w:sz w:val="22"/>
          <w:szCs w:val="22"/>
        </w:rPr>
        <w:t xml:space="preserve"> to contribute to the unit rationale and content.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supervise and assess student Masters dissertations.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lastRenderedPageBreak/>
        <w:t>To act as a Personal Tutor (in both and academic and pastoral roles) for a number of students, and assist and encourage their academic and personal development throughout the academic year; to offer support to other MAAB students.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accompany and play an active role, together with other academic and administrative staff, on national and international study trips with the students.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participate in the clear and efficient running of the MAAB programme, as part of the academic faculty and in tandem with the programme coordinators.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conduct interviews with prospective students, and to assess their suitability for the programme, in consultation with the Programme Director.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maintain a broad knowledge of developments and research in Art Business to ensure that teaching is up-to-date and of a consistently high standard.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To contribute to the research culture of the Institute, both in teaching methodology and subject specialization, through participation in staff seminars, committees, focus groups, etc. </w:t>
      </w:r>
    </w:p>
    <w:p w:rsidR="0012681A" w:rsidRPr="0012681A" w:rsidRDefault="0012681A" w:rsidP="0012681A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attend the staff student consultative committee meetings and the Academic Standards Committee, and any other committee, as requested.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To be involved in the University of Manchester validation processes, and work with the External Examiner in terms of maintaining the quality of the programme. </w:t>
      </w: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>To maintain amicable and creative links with Sotheby’s Auction House and other main players in the art world.</w:t>
      </w:r>
    </w:p>
    <w:p w:rsidR="006329ED" w:rsidRPr="0012681A" w:rsidRDefault="006329ED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color w:val="000000"/>
          <w:sz w:val="22"/>
          <w:szCs w:val="22"/>
        </w:rPr>
      </w:pPr>
    </w:p>
    <w:p w:rsidR="0012681A" w:rsidRP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12681A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QUALIFICATIONS: </w:t>
      </w:r>
    </w:p>
    <w:p w:rsidR="0012681A" w:rsidRP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7F68C8" w:rsidRPr="009151F7" w:rsidRDefault="00D76AED" w:rsidP="009151F7">
      <w:pPr>
        <w:pStyle w:val="ListParagraph"/>
        <w:numPr>
          <w:ilvl w:val="0"/>
          <w:numId w:val="4"/>
        </w:numPr>
        <w:jc w:val="both"/>
        <w:rPr>
          <w:rFonts w:cs="Garamond"/>
          <w:sz w:val="22"/>
          <w:szCs w:val="22"/>
        </w:rPr>
      </w:pPr>
      <w:r w:rsidRPr="009151F7">
        <w:rPr>
          <w:rFonts w:cs="Garamond"/>
          <w:sz w:val="22"/>
          <w:szCs w:val="22"/>
        </w:rPr>
        <w:t>PhD in an area related to the programme</w:t>
      </w:r>
      <w:r w:rsidR="006329ED" w:rsidRPr="009151F7">
        <w:rPr>
          <w:rFonts w:cs="Garamond"/>
          <w:sz w:val="22"/>
          <w:szCs w:val="22"/>
        </w:rPr>
        <w:t xml:space="preserve">. </w:t>
      </w:r>
    </w:p>
    <w:p w:rsidR="007F68C8" w:rsidRPr="009151F7" w:rsidRDefault="007F68C8" w:rsidP="009151F7">
      <w:pPr>
        <w:pStyle w:val="ListParagraph"/>
        <w:numPr>
          <w:ilvl w:val="0"/>
          <w:numId w:val="4"/>
        </w:numPr>
        <w:jc w:val="both"/>
        <w:rPr>
          <w:rFonts w:cs="Garamond"/>
          <w:sz w:val="22"/>
          <w:szCs w:val="22"/>
        </w:rPr>
      </w:pPr>
      <w:r w:rsidRPr="009151F7">
        <w:rPr>
          <w:rFonts w:cs="Garamond"/>
          <w:sz w:val="22"/>
          <w:szCs w:val="22"/>
        </w:rPr>
        <w:t>Completion of a training course on teaching and learning in higher education is desirable.</w:t>
      </w:r>
    </w:p>
    <w:p w:rsidR="0012681A" w:rsidRPr="0012681A" w:rsidRDefault="0012681A" w:rsidP="0012681A">
      <w:pPr>
        <w:rPr>
          <w:rFonts w:asciiTheme="minorHAnsi" w:hAnsiTheme="minorHAnsi"/>
          <w:b/>
          <w:color w:val="000000"/>
          <w:sz w:val="22"/>
          <w:szCs w:val="22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681A"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</w:p>
    <w:p w:rsidR="00CC29F5" w:rsidRDefault="00CC29F5" w:rsidP="0012681A">
      <w:pPr>
        <w:tabs>
          <w:tab w:val="left" w:pos="3690"/>
        </w:tabs>
        <w:rPr>
          <w:rFonts w:asciiTheme="minorHAnsi" w:hAnsiTheme="minorHAnsi"/>
          <w:color w:val="000000"/>
          <w:sz w:val="22"/>
          <w:szCs w:val="22"/>
        </w:rPr>
      </w:pPr>
    </w:p>
    <w:p w:rsidR="00CC29F5" w:rsidRDefault="00CC29F5" w:rsidP="0012681A">
      <w:pPr>
        <w:tabs>
          <w:tab w:val="left" w:pos="3690"/>
        </w:tabs>
        <w:rPr>
          <w:rFonts w:asciiTheme="minorHAnsi" w:hAnsiTheme="minorHAnsi"/>
          <w:color w:val="000000"/>
          <w:sz w:val="22"/>
          <w:szCs w:val="22"/>
        </w:rPr>
      </w:pPr>
    </w:p>
    <w:p w:rsidR="00CC29F5" w:rsidRDefault="00CC29F5" w:rsidP="0012681A">
      <w:pPr>
        <w:tabs>
          <w:tab w:val="left" w:pos="3690"/>
        </w:tabs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To apply:</w:t>
      </w:r>
    </w:p>
    <w:p w:rsidR="0012681A" w:rsidRPr="00CC29F5" w:rsidRDefault="0012681A" w:rsidP="0012681A">
      <w:pPr>
        <w:tabs>
          <w:tab w:val="left" w:pos="3690"/>
        </w:tabs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12681A">
        <w:rPr>
          <w:rFonts w:asciiTheme="minorHAnsi" w:hAnsiTheme="minorHAnsi"/>
          <w:color w:val="000000"/>
          <w:sz w:val="22"/>
          <w:szCs w:val="22"/>
        </w:rPr>
        <w:tab/>
      </w:r>
    </w:p>
    <w:p w:rsidR="00CC29F5" w:rsidRPr="00CC29F5" w:rsidRDefault="00CC29F5" w:rsidP="00CC29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29F5">
        <w:rPr>
          <w:rFonts w:asciiTheme="minorHAnsi" w:hAnsiTheme="minorHAnsi" w:cstheme="minorHAnsi"/>
          <w:sz w:val="22"/>
          <w:szCs w:val="22"/>
        </w:rPr>
        <w:t xml:space="preserve">To apply please send a CV and covering letter to </w:t>
      </w:r>
      <w:hyperlink r:id="rId8" w:history="1">
        <w:r w:rsidRPr="00CC29F5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vacancies@sothebysinstitute.com</w:t>
        </w:r>
      </w:hyperlink>
      <w:r w:rsidRPr="00CC29F5">
        <w:rPr>
          <w:rFonts w:asciiTheme="minorHAnsi" w:hAnsiTheme="minorHAnsi" w:cstheme="minorHAnsi"/>
          <w:sz w:val="22"/>
          <w:szCs w:val="22"/>
        </w:rPr>
        <w:t xml:space="preserve">, explaining your suitability for the role.  </w:t>
      </w:r>
      <w:r w:rsidRPr="00CC29F5">
        <w:rPr>
          <w:rFonts w:asciiTheme="minorHAnsi" w:hAnsiTheme="minorHAnsi" w:cstheme="minorHAnsi"/>
          <w:sz w:val="22"/>
          <w:szCs w:val="22"/>
          <w:lang w:val="en-US"/>
        </w:rPr>
        <w:t xml:space="preserve">Review of applications will begin immediately, with a closing date of </w:t>
      </w:r>
      <w:r w:rsidRPr="00CC29F5">
        <w:rPr>
          <w:rFonts w:asciiTheme="minorHAnsi" w:hAnsiTheme="minorHAnsi" w:cstheme="minorHAnsi"/>
          <w:sz w:val="22"/>
          <w:szCs w:val="22"/>
        </w:rPr>
        <w:t>Tuesday 3</w:t>
      </w:r>
      <w:r w:rsidRPr="00CC29F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CC29F5">
        <w:rPr>
          <w:rFonts w:asciiTheme="minorHAnsi" w:hAnsiTheme="minorHAnsi" w:cstheme="minorHAnsi"/>
          <w:sz w:val="22"/>
          <w:szCs w:val="22"/>
        </w:rPr>
        <w:t xml:space="preserve"> April 2018.  Preliminary interviews will take place on Tuesday 10</w:t>
      </w:r>
      <w:r w:rsidRPr="00CC29F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C29F5">
        <w:rPr>
          <w:rFonts w:asciiTheme="minorHAnsi" w:hAnsiTheme="minorHAnsi" w:cstheme="minorHAnsi"/>
          <w:sz w:val="22"/>
          <w:szCs w:val="22"/>
        </w:rPr>
        <w:t xml:space="preserve"> April.</w:t>
      </w:r>
    </w:p>
    <w:p w:rsidR="000A7F18" w:rsidRPr="00CC29F5" w:rsidRDefault="000A7F18" w:rsidP="004C398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A7F18" w:rsidRPr="00CC29F5" w:rsidSect="00CE70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A" w:rsidRDefault="00D63CEA" w:rsidP="00865B34">
      <w:r>
        <w:separator/>
      </w:r>
    </w:p>
  </w:endnote>
  <w:endnote w:type="continuationSeparator" w:id="0">
    <w:p w:rsidR="00D63CEA" w:rsidRDefault="00D63CEA" w:rsidP="008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63103"/>
      <w:docPartObj>
        <w:docPartGallery w:val="Page Numbers (Bottom of Page)"/>
        <w:docPartUnique/>
      </w:docPartObj>
    </w:sdtPr>
    <w:sdtEndPr/>
    <w:sdtContent>
      <w:p w:rsidR="0061357F" w:rsidRDefault="0061357F">
        <w:pPr>
          <w:pStyle w:val="Footer"/>
          <w:jc w:val="center"/>
        </w:pPr>
        <w:r w:rsidRPr="00BE662F">
          <w:rPr>
            <w:rFonts w:asciiTheme="minorHAnsi" w:hAnsiTheme="minorHAnsi"/>
            <w:sz w:val="18"/>
            <w:szCs w:val="18"/>
          </w:rPr>
          <w:fldChar w:fldCharType="begin"/>
        </w:r>
        <w:r w:rsidRPr="00BE662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E662F">
          <w:rPr>
            <w:rFonts w:asciiTheme="minorHAnsi" w:hAnsiTheme="minorHAnsi"/>
            <w:sz w:val="18"/>
            <w:szCs w:val="18"/>
          </w:rPr>
          <w:fldChar w:fldCharType="separate"/>
        </w:r>
        <w:r w:rsidR="00444D11">
          <w:rPr>
            <w:rFonts w:asciiTheme="minorHAnsi" w:hAnsiTheme="minorHAnsi"/>
            <w:sz w:val="18"/>
            <w:szCs w:val="18"/>
          </w:rPr>
          <w:t>1</w:t>
        </w:r>
        <w:r w:rsidRPr="00BE662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1357F" w:rsidRDefault="0061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A" w:rsidRDefault="00D63CEA" w:rsidP="00865B34">
      <w:r>
        <w:separator/>
      </w:r>
    </w:p>
  </w:footnote>
  <w:footnote w:type="continuationSeparator" w:id="0">
    <w:p w:rsidR="00D63CEA" w:rsidRDefault="00D63CEA" w:rsidP="0086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9E0"/>
    <w:multiLevelType w:val="hybridMultilevel"/>
    <w:tmpl w:val="53C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4D0A"/>
    <w:multiLevelType w:val="hybridMultilevel"/>
    <w:tmpl w:val="616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61B5F"/>
    <w:multiLevelType w:val="hybridMultilevel"/>
    <w:tmpl w:val="63F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12FD"/>
    <w:multiLevelType w:val="hybridMultilevel"/>
    <w:tmpl w:val="5656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B73"/>
    <w:multiLevelType w:val="hybridMultilevel"/>
    <w:tmpl w:val="4D0C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E"/>
    <w:rsid w:val="00012014"/>
    <w:rsid w:val="00015CFC"/>
    <w:rsid w:val="00015DCB"/>
    <w:rsid w:val="00020F1C"/>
    <w:rsid w:val="00023633"/>
    <w:rsid w:val="00030287"/>
    <w:rsid w:val="00036537"/>
    <w:rsid w:val="0005763F"/>
    <w:rsid w:val="00062B76"/>
    <w:rsid w:val="00063601"/>
    <w:rsid w:val="00084886"/>
    <w:rsid w:val="00087B27"/>
    <w:rsid w:val="00092528"/>
    <w:rsid w:val="00097A32"/>
    <w:rsid w:val="000A6D20"/>
    <w:rsid w:val="000A7F18"/>
    <w:rsid w:val="000B232C"/>
    <w:rsid w:val="000B33CA"/>
    <w:rsid w:val="000B34B3"/>
    <w:rsid w:val="000B43A9"/>
    <w:rsid w:val="000B506F"/>
    <w:rsid w:val="000B65E0"/>
    <w:rsid w:val="000C3EC8"/>
    <w:rsid w:val="000C5F03"/>
    <w:rsid w:val="000D3D4D"/>
    <w:rsid w:val="000E00BC"/>
    <w:rsid w:val="000F03B1"/>
    <w:rsid w:val="000F0972"/>
    <w:rsid w:val="000F172E"/>
    <w:rsid w:val="000F4CAD"/>
    <w:rsid w:val="00102D3C"/>
    <w:rsid w:val="00105E9D"/>
    <w:rsid w:val="001070B3"/>
    <w:rsid w:val="00125584"/>
    <w:rsid w:val="0012681A"/>
    <w:rsid w:val="001358B7"/>
    <w:rsid w:val="00143F29"/>
    <w:rsid w:val="00152B5D"/>
    <w:rsid w:val="00153021"/>
    <w:rsid w:val="0015717A"/>
    <w:rsid w:val="00164F10"/>
    <w:rsid w:val="00171822"/>
    <w:rsid w:val="00171FEF"/>
    <w:rsid w:val="00174316"/>
    <w:rsid w:val="00174EED"/>
    <w:rsid w:val="00181F68"/>
    <w:rsid w:val="001846F8"/>
    <w:rsid w:val="00186898"/>
    <w:rsid w:val="001A51CC"/>
    <w:rsid w:val="001B7456"/>
    <w:rsid w:val="001C323C"/>
    <w:rsid w:val="001C4E68"/>
    <w:rsid w:val="001E6185"/>
    <w:rsid w:val="001F3B33"/>
    <w:rsid w:val="002038A6"/>
    <w:rsid w:val="00212815"/>
    <w:rsid w:val="0022177C"/>
    <w:rsid w:val="00240412"/>
    <w:rsid w:val="00241FFA"/>
    <w:rsid w:val="002440CC"/>
    <w:rsid w:val="0024546F"/>
    <w:rsid w:val="002508FF"/>
    <w:rsid w:val="00253F38"/>
    <w:rsid w:val="002549CE"/>
    <w:rsid w:val="00256A8D"/>
    <w:rsid w:val="00267DA8"/>
    <w:rsid w:val="00277A97"/>
    <w:rsid w:val="00284487"/>
    <w:rsid w:val="00292FB0"/>
    <w:rsid w:val="002A161E"/>
    <w:rsid w:val="002A5B7E"/>
    <w:rsid w:val="002A6702"/>
    <w:rsid w:val="002B01D7"/>
    <w:rsid w:val="002C0FF5"/>
    <w:rsid w:val="002C369F"/>
    <w:rsid w:val="002C66AC"/>
    <w:rsid w:val="002E1755"/>
    <w:rsid w:val="002F046E"/>
    <w:rsid w:val="00304AF9"/>
    <w:rsid w:val="00305A0A"/>
    <w:rsid w:val="00315429"/>
    <w:rsid w:val="00315CA4"/>
    <w:rsid w:val="0031626A"/>
    <w:rsid w:val="003230B1"/>
    <w:rsid w:val="00346FAC"/>
    <w:rsid w:val="0035338C"/>
    <w:rsid w:val="00356E93"/>
    <w:rsid w:val="003610DE"/>
    <w:rsid w:val="003638C7"/>
    <w:rsid w:val="00364B61"/>
    <w:rsid w:val="00365B90"/>
    <w:rsid w:val="00367BA7"/>
    <w:rsid w:val="00381C3F"/>
    <w:rsid w:val="003829AB"/>
    <w:rsid w:val="003832ED"/>
    <w:rsid w:val="00397A8E"/>
    <w:rsid w:val="003A3459"/>
    <w:rsid w:val="003B3C8A"/>
    <w:rsid w:val="003B538A"/>
    <w:rsid w:val="003B75BE"/>
    <w:rsid w:val="003B7F1F"/>
    <w:rsid w:val="003D32E6"/>
    <w:rsid w:val="003D4CCF"/>
    <w:rsid w:val="003E59F5"/>
    <w:rsid w:val="003E687B"/>
    <w:rsid w:val="003F294C"/>
    <w:rsid w:val="00400023"/>
    <w:rsid w:val="00425B98"/>
    <w:rsid w:val="00426111"/>
    <w:rsid w:val="00432441"/>
    <w:rsid w:val="00433365"/>
    <w:rsid w:val="00444D11"/>
    <w:rsid w:val="0046300C"/>
    <w:rsid w:val="00476E14"/>
    <w:rsid w:val="00484503"/>
    <w:rsid w:val="00484540"/>
    <w:rsid w:val="00484F74"/>
    <w:rsid w:val="004857A5"/>
    <w:rsid w:val="004912E6"/>
    <w:rsid w:val="004A2FCF"/>
    <w:rsid w:val="004A3164"/>
    <w:rsid w:val="004B3316"/>
    <w:rsid w:val="004C0E73"/>
    <w:rsid w:val="004C2928"/>
    <w:rsid w:val="004C398D"/>
    <w:rsid w:val="004C51CA"/>
    <w:rsid w:val="004C634F"/>
    <w:rsid w:val="004E1690"/>
    <w:rsid w:val="004E5325"/>
    <w:rsid w:val="004F2C8D"/>
    <w:rsid w:val="004F7273"/>
    <w:rsid w:val="00504E82"/>
    <w:rsid w:val="00526DD0"/>
    <w:rsid w:val="00527B92"/>
    <w:rsid w:val="00532343"/>
    <w:rsid w:val="00541C2F"/>
    <w:rsid w:val="00543694"/>
    <w:rsid w:val="0054686E"/>
    <w:rsid w:val="0055031D"/>
    <w:rsid w:val="00554877"/>
    <w:rsid w:val="00557109"/>
    <w:rsid w:val="005743F9"/>
    <w:rsid w:val="005746EF"/>
    <w:rsid w:val="005839C6"/>
    <w:rsid w:val="00586A05"/>
    <w:rsid w:val="00593076"/>
    <w:rsid w:val="005C07F6"/>
    <w:rsid w:val="005C6B42"/>
    <w:rsid w:val="005F4B4F"/>
    <w:rsid w:val="005F600C"/>
    <w:rsid w:val="0060528E"/>
    <w:rsid w:val="00607C99"/>
    <w:rsid w:val="00612D2F"/>
    <w:rsid w:val="0061357F"/>
    <w:rsid w:val="00613FAB"/>
    <w:rsid w:val="00615D77"/>
    <w:rsid w:val="006272FB"/>
    <w:rsid w:val="006329ED"/>
    <w:rsid w:val="0064473B"/>
    <w:rsid w:val="006675A3"/>
    <w:rsid w:val="0067056E"/>
    <w:rsid w:val="00677337"/>
    <w:rsid w:val="00680DC8"/>
    <w:rsid w:val="00693F33"/>
    <w:rsid w:val="006B1DC9"/>
    <w:rsid w:val="006B2BE3"/>
    <w:rsid w:val="006B31D1"/>
    <w:rsid w:val="006B3F42"/>
    <w:rsid w:val="006C5A7A"/>
    <w:rsid w:val="006C5AE1"/>
    <w:rsid w:val="006D0CB4"/>
    <w:rsid w:val="006D54F8"/>
    <w:rsid w:val="006F27BF"/>
    <w:rsid w:val="006F7582"/>
    <w:rsid w:val="00700A52"/>
    <w:rsid w:val="00714361"/>
    <w:rsid w:val="00714C55"/>
    <w:rsid w:val="007210CE"/>
    <w:rsid w:val="00761208"/>
    <w:rsid w:val="00765FD5"/>
    <w:rsid w:val="00783141"/>
    <w:rsid w:val="00791BB9"/>
    <w:rsid w:val="007B31F8"/>
    <w:rsid w:val="007B3E21"/>
    <w:rsid w:val="007C5DB1"/>
    <w:rsid w:val="007D3677"/>
    <w:rsid w:val="007E0903"/>
    <w:rsid w:val="007E0DFB"/>
    <w:rsid w:val="007E3A82"/>
    <w:rsid w:val="007F4BA9"/>
    <w:rsid w:val="007F54BC"/>
    <w:rsid w:val="007F68C8"/>
    <w:rsid w:val="00806066"/>
    <w:rsid w:val="00806374"/>
    <w:rsid w:val="008135F8"/>
    <w:rsid w:val="00824BEE"/>
    <w:rsid w:val="0083112B"/>
    <w:rsid w:val="008336E4"/>
    <w:rsid w:val="0086124F"/>
    <w:rsid w:val="00865B34"/>
    <w:rsid w:val="00875066"/>
    <w:rsid w:val="0089095A"/>
    <w:rsid w:val="008960BA"/>
    <w:rsid w:val="00897057"/>
    <w:rsid w:val="00897107"/>
    <w:rsid w:val="008A5C5E"/>
    <w:rsid w:val="008A676B"/>
    <w:rsid w:val="008A6A2C"/>
    <w:rsid w:val="008B3CFC"/>
    <w:rsid w:val="008E29B2"/>
    <w:rsid w:val="008E4710"/>
    <w:rsid w:val="008F58A0"/>
    <w:rsid w:val="008F701B"/>
    <w:rsid w:val="008F79A6"/>
    <w:rsid w:val="00901BA5"/>
    <w:rsid w:val="00911B0C"/>
    <w:rsid w:val="009151F7"/>
    <w:rsid w:val="009214F1"/>
    <w:rsid w:val="0092693F"/>
    <w:rsid w:val="00932FB6"/>
    <w:rsid w:val="00941088"/>
    <w:rsid w:val="00941DC7"/>
    <w:rsid w:val="00943AD8"/>
    <w:rsid w:val="00944B1B"/>
    <w:rsid w:val="00945AFC"/>
    <w:rsid w:val="009466D3"/>
    <w:rsid w:val="0095703A"/>
    <w:rsid w:val="009A1571"/>
    <w:rsid w:val="009A2D44"/>
    <w:rsid w:val="009B1131"/>
    <w:rsid w:val="009B5E77"/>
    <w:rsid w:val="009C0442"/>
    <w:rsid w:val="009C15DF"/>
    <w:rsid w:val="009C701C"/>
    <w:rsid w:val="009C7E81"/>
    <w:rsid w:val="009D3D68"/>
    <w:rsid w:val="009D4EA1"/>
    <w:rsid w:val="009F2E77"/>
    <w:rsid w:val="009F7E6D"/>
    <w:rsid w:val="00A01C7E"/>
    <w:rsid w:val="00A03414"/>
    <w:rsid w:val="00A05128"/>
    <w:rsid w:val="00A10CD1"/>
    <w:rsid w:val="00A31425"/>
    <w:rsid w:val="00A32E10"/>
    <w:rsid w:val="00A332CC"/>
    <w:rsid w:val="00A365CC"/>
    <w:rsid w:val="00A4596A"/>
    <w:rsid w:val="00A65E02"/>
    <w:rsid w:val="00A66D3B"/>
    <w:rsid w:val="00A82EDB"/>
    <w:rsid w:val="00A831FE"/>
    <w:rsid w:val="00A8385D"/>
    <w:rsid w:val="00A86A90"/>
    <w:rsid w:val="00A87384"/>
    <w:rsid w:val="00A90391"/>
    <w:rsid w:val="00AB79D2"/>
    <w:rsid w:val="00AC6637"/>
    <w:rsid w:val="00AC7E3D"/>
    <w:rsid w:val="00AD3265"/>
    <w:rsid w:val="00AD331A"/>
    <w:rsid w:val="00AD4DB9"/>
    <w:rsid w:val="00AF74F3"/>
    <w:rsid w:val="00B0069F"/>
    <w:rsid w:val="00B017DA"/>
    <w:rsid w:val="00B10088"/>
    <w:rsid w:val="00B10232"/>
    <w:rsid w:val="00B153C6"/>
    <w:rsid w:val="00B16723"/>
    <w:rsid w:val="00B2308B"/>
    <w:rsid w:val="00B26BD9"/>
    <w:rsid w:val="00B27399"/>
    <w:rsid w:val="00B33330"/>
    <w:rsid w:val="00B41318"/>
    <w:rsid w:val="00B73243"/>
    <w:rsid w:val="00B802D3"/>
    <w:rsid w:val="00B919F7"/>
    <w:rsid w:val="00B933C9"/>
    <w:rsid w:val="00B97506"/>
    <w:rsid w:val="00B97EFB"/>
    <w:rsid w:val="00BA2CDF"/>
    <w:rsid w:val="00BA7F2B"/>
    <w:rsid w:val="00BB21D5"/>
    <w:rsid w:val="00BC1A5A"/>
    <w:rsid w:val="00BC23CD"/>
    <w:rsid w:val="00BC6CAD"/>
    <w:rsid w:val="00BD04CF"/>
    <w:rsid w:val="00BD29AE"/>
    <w:rsid w:val="00BD4B1E"/>
    <w:rsid w:val="00BD51AA"/>
    <w:rsid w:val="00BE662F"/>
    <w:rsid w:val="00BE7ED5"/>
    <w:rsid w:val="00BF05A7"/>
    <w:rsid w:val="00C004BE"/>
    <w:rsid w:val="00C04F04"/>
    <w:rsid w:val="00C06270"/>
    <w:rsid w:val="00C14F34"/>
    <w:rsid w:val="00C178FE"/>
    <w:rsid w:val="00C22F56"/>
    <w:rsid w:val="00C23D33"/>
    <w:rsid w:val="00C34B04"/>
    <w:rsid w:val="00C41F12"/>
    <w:rsid w:val="00C46126"/>
    <w:rsid w:val="00C610F4"/>
    <w:rsid w:val="00C648F3"/>
    <w:rsid w:val="00C67B04"/>
    <w:rsid w:val="00C9337B"/>
    <w:rsid w:val="00C940B2"/>
    <w:rsid w:val="00CA05A6"/>
    <w:rsid w:val="00CA6228"/>
    <w:rsid w:val="00CA700C"/>
    <w:rsid w:val="00CB5D67"/>
    <w:rsid w:val="00CC0967"/>
    <w:rsid w:val="00CC29F5"/>
    <w:rsid w:val="00CE006A"/>
    <w:rsid w:val="00CE13FE"/>
    <w:rsid w:val="00CE7058"/>
    <w:rsid w:val="00CF6FE3"/>
    <w:rsid w:val="00CF766B"/>
    <w:rsid w:val="00D066F0"/>
    <w:rsid w:val="00D201A1"/>
    <w:rsid w:val="00D20941"/>
    <w:rsid w:val="00D23B13"/>
    <w:rsid w:val="00D254BD"/>
    <w:rsid w:val="00D50E02"/>
    <w:rsid w:val="00D56843"/>
    <w:rsid w:val="00D63CEA"/>
    <w:rsid w:val="00D7356A"/>
    <w:rsid w:val="00D76AED"/>
    <w:rsid w:val="00D81C1B"/>
    <w:rsid w:val="00D849C0"/>
    <w:rsid w:val="00D911F7"/>
    <w:rsid w:val="00D913CA"/>
    <w:rsid w:val="00D9793C"/>
    <w:rsid w:val="00DB34FC"/>
    <w:rsid w:val="00DB47AA"/>
    <w:rsid w:val="00DC0183"/>
    <w:rsid w:val="00DD07F5"/>
    <w:rsid w:val="00DD314F"/>
    <w:rsid w:val="00E03E5C"/>
    <w:rsid w:val="00E06159"/>
    <w:rsid w:val="00E07578"/>
    <w:rsid w:val="00E13859"/>
    <w:rsid w:val="00E36C6F"/>
    <w:rsid w:val="00E616D2"/>
    <w:rsid w:val="00E6515C"/>
    <w:rsid w:val="00E720C7"/>
    <w:rsid w:val="00E721AE"/>
    <w:rsid w:val="00E763D3"/>
    <w:rsid w:val="00E77CDD"/>
    <w:rsid w:val="00E80651"/>
    <w:rsid w:val="00E81037"/>
    <w:rsid w:val="00E906DA"/>
    <w:rsid w:val="00E927F8"/>
    <w:rsid w:val="00E93C34"/>
    <w:rsid w:val="00E95979"/>
    <w:rsid w:val="00EA5275"/>
    <w:rsid w:val="00EB4206"/>
    <w:rsid w:val="00ED2ACC"/>
    <w:rsid w:val="00EE55D1"/>
    <w:rsid w:val="00EF3114"/>
    <w:rsid w:val="00EF5264"/>
    <w:rsid w:val="00EF6AE5"/>
    <w:rsid w:val="00EF6F3D"/>
    <w:rsid w:val="00F01A7A"/>
    <w:rsid w:val="00F2443A"/>
    <w:rsid w:val="00F268C7"/>
    <w:rsid w:val="00F30C50"/>
    <w:rsid w:val="00F4585F"/>
    <w:rsid w:val="00F506DF"/>
    <w:rsid w:val="00F5585B"/>
    <w:rsid w:val="00F57D53"/>
    <w:rsid w:val="00F600B1"/>
    <w:rsid w:val="00F6261E"/>
    <w:rsid w:val="00F70334"/>
    <w:rsid w:val="00F804DF"/>
    <w:rsid w:val="00F83480"/>
    <w:rsid w:val="00F90404"/>
    <w:rsid w:val="00F91B90"/>
    <w:rsid w:val="00F94749"/>
    <w:rsid w:val="00F96839"/>
    <w:rsid w:val="00FA067D"/>
    <w:rsid w:val="00FA08BA"/>
    <w:rsid w:val="00FA6E66"/>
    <w:rsid w:val="00FA7CB0"/>
    <w:rsid w:val="00FB2241"/>
    <w:rsid w:val="00FB291A"/>
    <w:rsid w:val="00FB54B3"/>
    <w:rsid w:val="00FC21F3"/>
    <w:rsid w:val="00FC53D5"/>
    <w:rsid w:val="00FD25CA"/>
    <w:rsid w:val="00FE3A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65069"/>
  <w15:docId w15:val="{BA44A72E-E1B6-4004-9C8B-D6420B3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FE"/>
    <w:pPr>
      <w:spacing w:line="240" w:lineRule="auto"/>
    </w:pPr>
    <w:rPr>
      <w:rFonts w:ascii="Garamond" w:eastAsia="Times New Roman" w:hAnsi="Garamond"/>
      <w:noProof/>
      <w:sz w:val="24"/>
      <w:szCs w:val="20"/>
      <w:lang w:val="en-GB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8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8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8F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8F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8F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8F3"/>
    <w:pPr>
      <w:spacing w:before="240" w:after="60"/>
      <w:outlineLvl w:val="6"/>
    </w:pPr>
    <w:rPr>
      <w:rFonts w:asciiTheme="minorHAnsi" w:eastAsiaTheme="minorHAnsi" w:hAnsiTheme="minorHAnsi"/>
      <w:szCs w:val="24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8F3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8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8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8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48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8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8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8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8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8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8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648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8F3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648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8F3"/>
    <w:rPr>
      <w:b/>
      <w:bCs/>
    </w:rPr>
  </w:style>
  <w:style w:type="character" w:styleId="Emphasis">
    <w:name w:val="Emphasis"/>
    <w:basedOn w:val="DefaultParagraphFont"/>
    <w:uiPriority w:val="20"/>
    <w:qFormat/>
    <w:rsid w:val="00C648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8F3"/>
    <w:rPr>
      <w:rFonts w:asciiTheme="minorHAnsi" w:eastAsiaTheme="minorHAnsi" w:hAnsiTheme="minorHAns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648F3"/>
    <w:pPr>
      <w:ind w:left="720"/>
      <w:contextualSpacing/>
    </w:pPr>
    <w:rPr>
      <w:rFonts w:asciiTheme="minorHAnsi" w:eastAsiaTheme="minorHAnsi" w:hAnsiTheme="minorHAnsi"/>
      <w:szCs w:val="24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648F3"/>
    <w:rPr>
      <w:rFonts w:asciiTheme="minorHAnsi" w:eastAsiaTheme="minorHAnsi" w:hAnsiTheme="minorHAnsi"/>
      <w:i/>
      <w:szCs w:val="24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648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8F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8F3"/>
    <w:rPr>
      <w:b/>
      <w:i/>
      <w:sz w:val="24"/>
    </w:rPr>
  </w:style>
  <w:style w:type="character" w:styleId="SubtleEmphasis">
    <w:name w:val="Subtle Emphasis"/>
    <w:uiPriority w:val="19"/>
    <w:qFormat/>
    <w:rsid w:val="00C648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8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8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8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8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8F3"/>
    <w:pPr>
      <w:outlineLvl w:val="9"/>
    </w:pPr>
  </w:style>
  <w:style w:type="paragraph" w:styleId="NormalWeb">
    <w:name w:val="Normal (Web)"/>
    <w:basedOn w:val="Normal"/>
    <w:rsid w:val="00C178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21"/>
    <w:rPr>
      <w:rFonts w:ascii="Tahoma" w:eastAsia="Times New Roman" w:hAnsi="Tahoma" w:cs="Tahoma"/>
      <w:sz w:val="16"/>
      <w:szCs w:val="16"/>
      <w:lang w:val="en-GB"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65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B34"/>
    <w:rPr>
      <w:rFonts w:ascii="Garamond" w:eastAsia="Times New Roman" w:hAnsi="Garamond"/>
      <w:sz w:val="24"/>
      <w:szCs w:val="20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865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34"/>
    <w:rPr>
      <w:rFonts w:ascii="Garamond" w:eastAsia="Times New Roman" w:hAnsi="Garamond"/>
      <w:sz w:val="24"/>
      <w:szCs w:val="20"/>
      <w:lang w:val="en-GB" w:eastAsia="zh-CN" w:bidi="ar-SA"/>
    </w:rPr>
  </w:style>
  <w:style w:type="character" w:styleId="Hyperlink">
    <w:name w:val="Hyperlink"/>
    <w:uiPriority w:val="99"/>
    <w:unhideWhenUsed/>
    <w:rsid w:val="00CC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sothebysinstitu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Woolfson, Jonathan</cp:lastModifiedBy>
  <cp:revision>2</cp:revision>
  <cp:lastPrinted>2015-05-12T14:06:00Z</cp:lastPrinted>
  <dcterms:created xsi:type="dcterms:W3CDTF">2018-03-08T10:26:00Z</dcterms:created>
  <dcterms:modified xsi:type="dcterms:W3CDTF">2018-03-08T10:26:00Z</dcterms:modified>
</cp:coreProperties>
</file>